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Default="000924D0" w:rsidP="0021726A">
      <w:pPr>
        <w:ind w:right="59"/>
      </w:pPr>
    </w:p>
    <w:p w:rsidR="0069622E" w:rsidRDefault="0069622E" w:rsidP="005F5886"/>
    <w:p w:rsidR="0069622E" w:rsidRDefault="0069622E" w:rsidP="005F5886"/>
    <w:p w:rsidR="0021726A" w:rsidRDefault="0021726A" w:rsidP="005F5886"/>
    <w:p w:rsidR="0021726A" w:rsidRDefault="0021726A" w:rsidP="005F5886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4955"/>
      </w:tblGrid>
      <w:tr w:rsidR="0069622E" w:rsidRPr="0038600B" w:rsidTr="0021726A">
        <w:trPr>
          <w:trHeight w:val="483"/>
        </w:trPr>
        <w:tc>
          <w:tcPr>
            <w:tcW w:w="5110" w:type="dxa"/>
          </w:tcPr>
          <w:p w:rsidR="0038600B" w:rsidRDefault="0064585C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Service</w:t>
            </w:r>
            <w:r w:rsidR="002243C1">
              <w:rPr>
                <w:rFonts w:cs="Arial"/>
                <w:b/>
                <w:szCs w:val="16"/>
              </w:rPr>
              <w:t xml:space="preserve"> Prom</w:t>
            </w:r>
            <w:r w:rsidR="0038600B">
              <w:rPr>
                <w:rFonts w:cs="Arial"/>
                <w:b/>
                <w:szCs w:val="16"/>
              </w:rPr>
              <w:t>o</w:t>
            </w:r>
            <w:r w:rsidR="002243C1">
              <w:rPr>
                <w:rFonts w:cs="Arial"/>
                <w:b/>
                <w:szCs w:val="16"/>
              </w:rPr>
              <w:t>tion</w:t>
            </w:r>
            <w:r w:rsidR="0038600B">
              <w:rPr>
                <w:rFonts w:cs="Arial"/>
                <w:b/>
                <w:szCs w:val="16"/>
              </w:rPr>
              <w:t xml:space="preserve"> de la santé </w:t>
            </w:r>
          </w:p>
          <w:p w:rsidR="0069622E" w:rsidRPr="00B37451" w:rsidRDefault="0038600B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proofErr w:type="gramStart"/>
            <w:r>
              <w:rPr>
                <w:rFonts w:cs="Arial"/>
                <w:b/>
                <w:szCs w:val="16"/>
              </w:rPr>
              <w:t>en</w:t>
            </w:r>
            <w:proofErr w:type="gramEnd"/>
            <w:r>
              <w:rPr>
                <w:rFonts w:cs="Arial"/>
                <w:b/>
                <w:szCs w:val="16"/>
              </w:rPr>
              <w:t xml:space="preserve"> faveur des élèves</w:t>
            </w:r>
            <w:r w:rsidR="0064585C">
              <w:rPr>
                <w:rFonts w:cs="Arial"/>
                <w:b/>
                <w:szCs w:val="16"/>
              </w:rPr>
              <w:t xml:space="preserve"> </w:t>
            </w:r>
          </w:p>
          <w:p w:rsidR="0069622E" w:rsidRPr="00B37451" w:rsidRDefault="0038600B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Réf N° 2020</w:t>
            </w:r>
          </w:p>
          <w:p w:rsidR="0069622E" w:rsidRPr="00B37451" w:rsidRDefault="0069622E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  <w:r w:rsidR="0074354D">
              <w:rPr>
                <w:rFonts w:cs="Arial"/>
                <w:szCs w:val="16"/>
              </w:rPr>
              <w:t xml:space="preserve"> Pascale MIGUET-DANZIN</w:t>
            </w:r>
          </w:p>
          <w:p w:rsidR="0069622E" w:rsidRPr="00B37451" w:rsidRDefault="0069622E" w:rsidP="007520A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Tél : </w:t>
            </w:r>
            <w:r w:rsidR="0038600B">
              <w:rPr>
                <w:rFonts w:cs="Arial"/>
                <w:szCs w:val="16"/>
              </w:rPr>
              <w:t>04 57 08 70 70</w:t>
            </w:r>
            <w:r w:rsidRPr="00B37451">
              <w:rPr>
                <w:rFonts w:cs="Arial"/>
                <w:szCs w:val="16"/>
              </w:rPr>
              <w:t xml:space="preserve"> </w:t>
            </w:r>
          </w:p>
          <w:p w:rsidR="0069622E" w:rsidRPr="00B37451" w:rsidRDefault="0069622E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Mél : </w:t>
            </w:r>
            <w:r w:rsidR="0038600B">
              <w:rPr>
                <w:rFonts w:cs="Arial"/>
                <w:szCs w:val="16"/>
              </w:rPr>
              <w:t>ce.dsden73</w:t>
            </w:r>
            <w:r w:rsidRPr="00A94B1C">
              <w:rPr>
                <w:rFonts w:cs="Arial"/>
                <w:szCs w:val="16"/>
              </w:rPr>
              <w:t>@</w:t>
            </w:r>
            <w:r>
              <w:rPr>
                <w:rFonts w:cs="Arial"/>
                <w:szCs w:val="16"/>
              </w:rPr>
              <w:t>ac-grenoble.fr</w:t>
            </w:r>
          </w:p>
          <w:p w:rsidR="00A85D44" w:rsidRDefault="00A85D44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8600B" w:rsidRDefault="0038600B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Direction des Services Départementaux</w:t>
            </w:r>
          </w:p>
          <w:p w:rsidR="0038600B" w:rsidRPr="00B37451" w:rsidRDefault="0038600B" w:rsidP="007520A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 l’Education Nationale</w:t>
            </w:r>
          </w:p>
          <w:p w:rsidR="00A85D44" w:rsidRPr="00B37451" w:rsidRDefault="0038600B" w:rsidP="00A85D4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131 Avenue de Lyon</w:t>
            </w:r>
          </w:p>
          <w:p w:rsidR="00A85D44" w:rsidRPr="00B37451" w:rsidRDefault="009E2A58" w:rsidP="00A85D44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73018</w:t>
            </w:r>
            <w:r w:rsidR="0038600B">
              <w:rPr>
                <w:rFonts w:cs="Arial"/>
                <w:szCs w:val="16"/>
              </w:rPr>
              <w:t xml:space="preserve"> Chambéry</w:t>
            </w:r>
          </w:p>
          <w:p w:rsidR="0069622E" w:rsidRPr="00A85D44" w:rsidRDefault="0069622E" w:rsidP="007520A2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69622E" w:rsidRPr="00A85D44" w:rsidRDefault="0069622E" w:rsidP="007520A2">
            <w:pPr>
              <w:pStyle w:val="Corpsdetexte"/>
            </w:pPr>
          </w:p>
        </w:tc>
        <w:tc>
          <w:tcPr>
            <w:tcW w:w="4955" w:type="dxa"/>
          </w:tcPr>
          <w:p w:rsidR="0069622E" w:rsidRPr="0021726A" w:rsidRDefault="0074354D" w:rsidP="0021726A">
            <w:pPr>
              <w:pStyle w:val="Date2"/>
              <w:spacing w:before="120"/>
              <w:ind w:right="147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Chambéry, le </w:t>
            </w:r>
          </w:p>
          <w:p w:rsidR="0069622E" w:rsidRDefault="00772F7E" w:rsidP="0021726A">
            <w:pPr>
              <w:pStyle w:val="Corpsdetexte"/>
              <w:spacing w:before="360" w:line="240" w:lineRule="auto"/>
              <w:ind w:right="147"/>
              <w:jc w:val="right"/>
            </w:pPr>
            <w:r>
              <w:t>Le Médecin conseiller technique</w:t>
            </w:r>
            <w:r>
              <w:br/>
              <w:t xml:space="preserve">responsable départemental </w:t>
            </w:r>
          </w:p>
          <w:p w:rsidR="0069622E" w:rsidRDefault="0069622E" w:rsidP="0021726A">
            <w:pPr>
              <w:pStyle w:val="Corpsdetexte"/>
              <w:spacing w:before="300" w:line="240" w:lineRule="auto"/>
              <w:ind w:right="147"/>
              <w:jc w:val="right"/>
            </w:pPr>
            <w:proofErr w:type="gramStart"/>
            <w:r>
              <w:t>à</w:t>
            </w:r>
            <w:proofErr w:type="gramEnd"/>
          </w:p>
          <w:p w:rsidR="0069622E" w:rsidRPr="006A4ADA" w:rsidRDefault="0069622E" w:rsidP="0021726A">
            <w:pPr>
              <w:pStyle w:val="Corpsdetexte"/>
              <w:spacing w:before="300" w:line="240" w:lineRule="auto"/>
              <w:ind w:right="147"/>
              <w:jc w:val="right"/>
            </w:pPr>
          </w:p>
          <w:p w:rsidR="0069622E" w:rsidRDefault="0069622E" w:rsidP="0021726A">
            <w:pPr>
              <w:pStyle w:val="Corpsdetexte"/>
              <w:spacing w:line="240" w:lineRule="auto"/>
              <w:ind w:right="148"/>
              <w:jc w:val="right"/>
            </w:pPr>
          </w:p>
        </w:tc>
      </w:tr>
    </w:tbl>
    <w:p w:rsidR="0069622E" w:rsidRPr="002725D4" w:rsidRDefault="0069622E" w:rsidP="005F5886">
      <w:pPr>
        <w:rPr>
          <w:lang w:val="fr-FR"/>
        </w:rPr>
      </w:pPr>
    </w:p>
    <w:p w:rsidR="0069622E" w:rsidRDefault="0069622E" w:rsidP="0069622E">
      <w:pPr>
        <w:pStyle w:val="Objet"/>
      </w:pPr>
      <w:r w:rsidRPr="004936AF">
        <w:rPr>
          <w:rStyle w:val="ObjetCar"/>
          <w:b/>
        </w:rPr>
        <w:t xml:space="preserve">Objet </w:t>
      </w:r>
      <w:r w:rsidRPr="004936AF">
        <w:t xml:space="preserve">: </w:t>
      </w:r>
      <w:r w:rsidR="0028456B">
        <w:t>vaccinations à l’entrée à l’école</w:t>
      </w:r>
    </w:p>
    <w:p w:rsidR="007A1B44" w:rsidRPr="007A1B44" w:rsidRDefault="007A1B44" w:rsidP="007A1B44">
      <w:pPr>
        <w:pStyle w:val="Corpsdetexte"/>
      </w:pPr>
    </w:p>
    <w:p w:rsidR="0069622E" w:rsidRPr="0038600B" w:rsidRDefault="0069622E" w:rsidP="005F5886">
      <w:pPr>
        <w:rPr>
          <w:lang w:val="fr-FR"/>
        </w:rPr>
      </w:pPr>
    </w:p>
    <w:p w:rsidR="0074354D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Certaines vaccinations sont obligatoires avant tout</w:t>
      </w:r>
      <w:r w:rsidR="00074EF6">
        <w:rPr>
          <w:sz w:val="20"/>
          <w:lang w:val="fr-FR"/>
        </w:rPr>
        <w:t>e</w:t>
      </w:r>
      <w:r>
        <w:rPr>
          <w:sz w:val="20"/>
          <w:lang w:val="fr-FR"/>
        </w:rPr>
        <w:t xml:space="preserve"> entrée en collectivité, notamment en école maternelle et un justificatif doit être fourni avant toute inscription (certificat de vaccination ou </w:t>
      </w:r>
      <w:r w:rsidR="0031231C">
        <w:rPr>
          <w:sz w:val="20"/>
          <w:lang w:val="fr-FR"/>
        </w:rPr>
        <w:t xml:space="preserve">pages </w:t>
      </w:r>
      <w:r>
        <w:rPr>
          <w:sz w:val="20"/>
          <w:lang w:val="fr-FR"/>
        </w:rPr>
        <w:t>concernant les vaccins</w:t>
      </w:r>
      <w:r w:rsidR="0031231C">
        <w:rPr>
          <w:sz w:val="20"/>
          <w:lang w:val="fr-FR"/>
        </w:rPr>
        <w:t xml:space="preserve"> du carnet de santé</w:t>
      </w:r>
      <w:r>
        <w:rPr>
          <w:sz w:val="20"/>
          <w:lang w:val="fr-FR"/>
        </w:rPr>
        <w:t>)</w:t>
      </w:r>
      <w:r w:rsidR="00411624">
        <w:rPr>
          <w:sz w:val="20"/>
          <w:lang w:val="fr-FR"/>
        </w:rPr>
        <w:t>.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Les parents sont tenus de faire pratiquer ces vaccinations et d’</w:t>
      </w:r>
      <w:r w:rsidR="007A1B44">
        <w:rPr>
          <w:sz w:val="20"/>
          <w:lang w:val="fr-FR"/>
        </w:rPr>
        <w:t>en assumer la</w:t>
      </w:r>
      <w:r>
        <w:rPr>
          <w:sz w:val="20"/>
          <w:lang w:val="fr-FR"/>
        </w:rPr>
        <w:t xml:space="preserve"> surveillance. Les vaccinations peuvent être effectuées selon leur choix dans un centre de vaccination ou auprès de leur médecin traitant.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  <w:r w:rsidRPr="0028456B">
        <w:rPr>
          <w:b/>
          <w:sz w:val="20"/>
          <w:lang w:val="fr-FR"/>
        </w:rPr>
        <w:t xml:space="preserve">La vaccination contre la diphtérie, le tétanos et la poliomyélite (DTP) </w:t>
      </w:r>
      <w:r w:rsidRPr="0028456B">
        <w:rPr>
          <w:sz w:val="20"/>
          <w:lang w:val="fr-FR"/>
        </w:rPr>
        <w:t>est obligatoire</w:t>
      </w:r>
      <w:r>
        <w:rPr>
          <w:sz w:val="20"/>
          <w:lang w:val="fr-FR"/>
        </w:rPr>
        <w:t xml:space="preserve"> pour tous les nourrissons qu’ils soient </w:t>
      </w:r>
      <w:r w:rsidRPr="0028456B">
        <w:rPr>
          <w:sz w:val="20"/>
          <w:u w:val="single"/>
          <w:lang w:val="fr-FR"/>
        </w:rPr>
        <w:t>nés avant ou après le 1</w:t>
      </w:r>
      <w:r w:rsidRPr="0028456B">
        <w:rPr>
          <w:sz w:val="20"/>
          <w:u w:val="single"/>
          <w:vertAlign w:val="superscript"/>
          <w:lang w:val="fr-FR"/>
        </w:rPr>
        <w:t>er</w:t>
      </w:r>
      <w:r w:rsidRPr="0028456B">
        <w:rPr>
          <w:sz w:val="20"/>
          <w:u w:val="single"/>
          <w:lang w:val="fr-FR"/>
        </w:rPr>
        <w:t xml:space="preserve"> janvier 2018</w:t>
      </w:r>
      <w:r>
        <w:rPr>
          <w:sz w:val="20"/>
          <w:lang w:val="fr-FR"/>
        </w:rPr>
        <w:t>. Elle repose sur :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 et une à 4 mois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11 mois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puis les rappels sont recommandés à 6 ans, et entre 11 et 13 ans</w:t>
      </w:r>
    </w:p>
    <w:p w:rsidR="0028456B" w:rsidRDefault="0028456B" w:rsidP="0074354D">
      <w:pPr>
        <w:spacing w:line="280" w:lineRule="exact"/>
        <w:jc w:val="both"/>
        <w:rPr>
          <w:sz w:val="20"/>
          <w:lang w:val="fr-FR"/>
        </w:rPr>
      </w:pPr>
    </w:p>
    <w:p w:rsidR="0074354D" w:rsidRDefault="0028456B" w:rsidP="0074354D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Le vaccin contre la coqueluche, </w:t>
      </w:r>
      <w:r>
        <w:rPr>
          <w:sz w:val="20"/>
          <w:lang w:val="fr-FR"/>
        </w:rPr>
        <w:t>en général combiné avec le DTP (</w:t>
      </w:r>
      <w:proofErr w:type="spellStart"/>
      <w:r>
        <w:rPr>
          <w:sz w:val="20"/>
          <w:lang w:val="fr-FR"/>
        </w:rPr>
        <w:t>DTPCoq</w:t>
      </w:r>
      <w:proofErr w:type="spellEnd"/>
      <w:r>
        <w:rPr>
          <w:sz w:val="20"/>
          <w:lang w:val="fr-FR"/>
        </w:rPr>
        <w:t>), est obligatoire pour les nourrissons</w:t>
      </w:r>
      <w:r w:rsidR="007A1B44">
        <w:rPr>
          <w:sz w:val="20"/>
          <w:lang w:val="fr-FR"/>
        </w:rPr>
        <w:t xml:space="preserve"> nés à partir du</w:t>
      </w:r>
      <w:r>
        <w:rPr>
          <w:sz w:val="20"/>
          <w:lang w:val="fr-FR"/>
        </w:rPr>
        <w:t xml:space="preserve"> 1</w:t>
      </w:r>
      <w:r>
        <w:rPr>
          <w:sz w:val="20"/>
          <w:vertAlign w:val="superscript"/>
          <w:lang w:val="fr-FR"/>
        </w:rPr>
        <w:t xml:space="preserve">er </w:t>
      </w:r>
      <w:r>
        <w:rPr>
          <w:sz w:val="20"/>
          <w:lang w:val="fr-FR"/>
        </w:rPr>
        <w:t>janvier 2018 et recommandé pour les enfants nés avant cette date. Il repose sur :</w:t>
      </w:r>
    </w:p>
    <w:p w:rsidR="0028456B" w:rsidRDefault="0028456B" w:rsidP="0028456B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 et une à 4 mois</w:t>
      </w:r>
    </w:p>
    <w:p w:rsidR="0028456B" w:rsidRDefault="0028456B" w:rsidP="0028456B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11 mois</w:t>
      </w:r>
    </w:p>
    <w:p w:rsidR="0028456B" w:rsidRDefault="0028456B" w:rsidP="0028456B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puis les rappels sont recommandés à 6 ans, et entre 11 et 13 ans</w:t>
      </w:r>
    </w:p>
    <w:p w:rsidR="0074354D" w:rsidRDefault="0074354D" w:rsidP="0074354D">
      <w:pPr>
        <w:spacing w:line="280" w:lineRule="exact"/>
        <w:jc w:val="both"/>
        <w:rPr>
          <w:sz w:val="20"/>
          <w:lang w:val="fr-FR"/>
        </w:rPr>
      </w:pPr>
    </w:p>
    <w:p w:rsidR="007A1B44" w:rsidRDefault="0028456B" w:rsidP="007A1B44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La vaccination contre Haemophilus influenzae </w:t>
      </w:r>
      <w:r>
        <w:rPr>
          <w:sz w:val="20"/>
          <w:lang w:val="fr-FR"/>
        </w:rPr>
        <w:t>(</w:t>
      </w:r>
      <w:proofErr w:type="spellStart"/>
      <w:r>
        <w:rPr>
          <w:sz w:val="20"/>
          <w:lang w:val="fr-FR"/>
        </w:rPr>
        <w:t>Act</w:t>
      </w:r>
      <w:proofErr w:type="spellEnd"/>
      <w:r>
        <w:rPr>
          <w:sz w:val="20"/>
          <w:lang w:val="fr-FR"/>
        </w:rPr>
        <w:t xml:space="preserve"> HIB)</w:t>
      </w:r>
      <w:r w:rsidR="007A1B44">
        <w:rPr>
          <w:sz w:val="20"/>
          <w:lang w:val="fr-FR"/>
        </w:rPr>
        <w:t xml:space="preserve"> est obligatoire pour les nourrissons nés à partir du 1</w:t>
      </w:r>
      <w:r w:rsidR="007A1B44">
        <w:rPr>
          <w:sz w:val="20"/>
          <w:vertAlign w:val="superscript"/>
          <w:lang w:val="fr-FR"/>
        </w:rPr>
        <w:t xml:space="preserve">er </w:t>
      </w:r>
      <w:r w:rsidR="007A1B44">
        <w:rPr>
          <w:sz w:val="20"/>
          <w:lang w:val="fr-FR"/>
        </w:rPr>
        <w:t>janvier 2018 et recommandé pour les enfants nés avant cette date. Il repose sur :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 et une à 4 mois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11 mois</w:t>
      </w:r>
    </w:p>
    <w:p w:rsidR="0074354D" w:rsidRPr="0028456B" w:rsidRDefault="0074354D" w:rsidP="0074354D">
      <w:pPr>
        <w:spacing w:line="280" w:lineRule="exact"/>
        <w:jc w:val="both"/>
        <w:rPr>
          <w:sz w:val="20"/>
          <w:lang w:val="fr-FR"/>
        </w:rPr>
      </w:pP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La vaccination contre l’Hépatite B </w:t>
      </w:r>
      <w:r>
        <w:rPr>
          <w:sz w:val="20"/>
          <w:lang w:val="fr-FR"/>
        </w:rPr>
        <w:t>(</w:t>
      </w:r>
      <w:proofErr w:type="spellStart"/>
      <w:r>
        <w:rPr>
          <w:sz w:val="20"/>
          <w:lang w:val="fr-FR"/>
        </w:rPr>
        <w:t>Engerix</w:t>
      </w:r>
      <w:proofErr w:type="spellEnd"/>
      <w:r>
        <w:rPr>
          <w:sz w:val="20"/>
          <w:lang w:val="fr-FR"/>
        </w:rPr>
        <w:t xml:space="preserve"> B10, HB Vaxpro5) est obligatoire pour les nourrissons nés à partir du 1</w:t>
      </w:r>
      <w:r>
        <w:rPr>
          <w:sz w:val="20"/>
          <w:vertAlign w:val="superscript"/>
          <w:lang w:val="fr-FR"/>
        </w:rPr>
        <w:t xml:space="preserve">er </w:t>
      </w:r>
      <w:r>
        <w:rPr>
          <w:sz w:val="20"/>
          <w:lang w:val="fr-FR"/>
        </w:rPr>
        <w:t>janvier 2018 et recommandé pour les enfants nés avant cette date. Il repose sur :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 et une à 4 mois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11 mois</w:t>
      </w:r>
    </w:p>
    <w:p w:rsidR="0074354D" w:rsidRPr="007A1B44" w:rsidRDefault="0074354D" w:rsidP="0074354D">
      <w:pPr>
        <w:spacing w:line="280" w:lineRule="exact"/>
        <w:jc w:val="both"/>
        <w:rPr>
          <w:sz w:val="20"/>
          <w:lang w:val="fr-FR"/>
        </w:rPr>
      </w:pP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La vaccination contre le pneumocoque </w:t>
      </w:r>
      <w:r>
        <w:rPr>
          <w:sz w:val="20"/>
          <w:lang w:val="fr-FR"/>
        </w:rPr>
        <w:t>(</w:t>
      </w:r>
      <w:proofErr w:type="spellStart"/>
      <w:r>
        <w:rPr>
          <w:sz w:val="20"/>
          <w:lang w:val="fr-FR"/>
        </w:rPr>
        <w:t>Prevenar</w:t>
      </w:r>
      <w:proofErr w:type="spellEnd"/>
      <w:r>
        <w:rPr>
          <w:sz w:val="20"/>
          <w:lang w:val="fr-FR"/>
        </w:rPr>
        <w:t xml:space="preserve">, </w:t>
      </w:r>
      <w:proofErr w:type="spellStart"/>
      <w:r>
        <w:rPr>
          <w:sz w:val="20"/>
          <w:lang w:val="fr-FR"/>
        </w:rPr>
        <w:t>Pneumovax</w:t>
      </w:r>
      <w:proofErr w:type="spellEnd"/>
      <w:r>
        <w:rPr>
          <w:sz w:val="20"/>
          <w:lang w:val="fr-FR"/>
        </w:rPr>
        <w:t>) est obligatoire pour les nourrissons nés à partir du 1</w:t>
      </w:r>
      <w:r>
        <w:rPr>
          <w:sz w:val="20"/>
          <w:vertAlign w:val="superscript"/>
          <w:lang w:val="fr-FR"/>
        </w:rPr>
        <w:t xml:space="preserve">er </w:t>
      </w:r>
      <w:r>
        <w:rPr>
          <w:sz w:val="20"/>
          <w:lang w:val="fr-FR"/>
        </w:rPr>
        <w:t>janvier 2018 et recommandé pour les enfants nés avant cette date. Il repose sur :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 et une à 4 mois</w:t>
      </w:r>
    </w:p>
    <w:p w:rsidR="007A1B44" w:rsidRDefault="007A1B44" w:rsidP="007A1B44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11 mois</w:t>
      </w:r>
    </w:p>
    <w:p w:rsidR="00C268F6" w:rsidRDefault="00C268F6" w:rsidP="007A1B44">
      <w:pPr>
        <w:spacing w:line="280" w:lineRule="exact"/>
        <w:jc w:val="both"/>
        <w:rPr>
          <w:sz w:val="20"/>
          <w:lang w:val="fr-FR"/>
        </w:rPr>
      </w:pPr>
    </w:p>
    <w:p w:rsidR="007A1B44" w:rsidRDefault="007A1B44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Lorsque les parent</w:t>
      </w:r>
      <w:r w:rsidR="00074EF6">
        <w:rPr>
          <w:sz w:val="20"/>
          <w:lang w:val="fr-FR"/>
        </w:rPr>
        <w:t>s</w:t>
      </w:r>
      <w:r>
        <w:rPr>
          <w:sz w:val="20"/>
          <w:lang w:val="fr-FR"/>
        </w:rPr>
        <w:t xml:space="preserve"> le souhaitent, plusieurs peuvent être faites en une seul</w:t>
      </w:r>
      <w:r w:rsidR="00074EF6">
        <w:rPr>
          <w:sz w:val="20"/>
          <w:lang w:val="fr-FR"/>
        </w:rPr>
        <w:t>e</w:t>
      </w:r>
      <w:bookmarkStart w:id="0" w:name="_GoBack"/>
      <w:bookmarkEnd w:id="0"/>
      <w:r>
        <w:rPr>
          <w:sz w:val="20"/>
          <w:lang w:val="fr-FR"/>
        </w:rPr>
        <w:t xml:space="preserve"> injection (vaccins polyvalents) :</w:t>
      </w:r>
    </w:p>
    <w:p w:rsidR="0074354D" w:rsidRDefault="007A1B44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-  Diphtérie + </w:t>
      </w:r>
      <w:proofErr w:type="spellStart"/>
      <w:r>
        <w:rPr>
          <w:sz w:val="20"/>
          <w:lang w:val="fr-FR"/>
        </w:rPr>
        <w:t>Tétanos+Coqueluche+Poliomyélite</w:t>
      </w:r>
      <w:proofErr w:type="spellEnd"/>
      <w:r>
        <w:rPr>
          <w:sz w:val="20"/>
          <w:lang w:val="fr-FR"/>
        </w:rPr>
        <w:t xml:space="preserve"> = INFANRIX – TETRAVAC</w:t>
      </w:r>
    </w:p>
    <w:p w:rsidR="007A1B44" w:rsidRDefault="007A1B44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-  Diphtérie + </w:t>
      </w:r>
      <w:proofErr w:type="spellStart"/>
      <w:r>
        <w:rPr>
          <w:sz w:val="20"/>
          <w:lang w:val="fr-FR"/>
        </w:rPr>
        <w:t>Tétanos+Coqueluche+Poliomyélite+HIB</w:t>
      </w:r>
      <w:proofErr w:type="spellEnd"/>
      <w:r>
        <w:rPr>
          <w:sz w:val="20"/>
          <w:lang w:val="fr-FR"/>
        </w:rPr>
        <w:t xml:space="preserve"> = INFANRIX QUINTA – PENTAVAC</w:t>
      </w:r>
    </w:p>
    <w:p w:rsidR="007A1B44" w:rsidRDefault="007A1B44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-  Diphtérie + </w:t>
      </w:r>
      <w:proofErr w:type="spellStart"/>
      <w:r>
        <w:rPr>
          <w:sz w:val="20"/>
          <w:lang w:val="fr-FR"/>
        </w:rPr>
        <w:t>Tétanos+Coqueluche+Poliomyélite+HIB+Hépatite</w:t>
      </w:r>
      <w:proofErr w:type="spellEnd"/>
      <w:r>
        <w:rPr>
          <w:sz w:val="20"/>
          <w:lang w:val="fr-FR"/>
        </w:rPr>
        <w:t xml:space="preserve"> B = INFRATIX HEXA – HEXYON</w:t>
      </w:r>
      <w:r w:rsidR="006739D3">
        <w:rPr>
          <w:sz w:val="20"/>
          <w:lang w:val="fr-FR"/>
        </w:rPr>
        <w:t xml:space="preserve"> –</w:t>
      </w:r>
      <w:r>
        <w:rPr>
          <w:sz w:val="20"/>
          <w:lang w:val="fr-FR"/>
        </w:rPr>
        <w:t xml:space="preserve"> VAXELIS</w:t>
      </w:r>
    </w:p>
    <w:p w:rsidR="006739D3" w:rsidRDefault="006739D3" w:rsidP="0074354D">
      <w:pPr>
        <w:spacing w:line="280" w:lineRule="exact"/>
        <w:jc w:val="both"/>
        <w:rPr>
          <w:sz w:val="20"/>
          <w:lang w:val="fr-FR"/>
        </w:rPr>
      </w:pP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La vaccination contre le méningocoque de sérogroupe C </w:t>
      </w:r>
      <w:r>
        <w:rPr>
          <w:sz w:val="20"/>
          <w:lang w:val="fr-FR"/>
        </w:rPr>
        <w:t>(NEISVAC, MENJUGATE) est obligatoire pour les nourrissons nés à partir du 1</w:t>
      </w:r>
      <w:r>
        <w:rPr>
          <w:sz w:val="20"/>
          <w:vertAlign w:val="superscript"/>
          <w:lang w:val="fr-FR"/>
        </w:rPr>
        <w:t xml:space="preserve">er </w:t>
      </w:r>
      <w:r>
        <w:rPr>
          <w:sz w:val="20"/>
          <w:lang w:val="fr-FR"/>
        </w:rPr>
        <w:t>janvier 2018 et recommandé pour les enfants nés avant cette date. Il repose sur :</w:t>
      </w: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5 mois</w:t>
      </w: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à l’âge de 12 mois</w:t>
      </w: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</w:p>
    <w:p w:rsidR="006739D3" w:rsidRDefault="006739D3" w:rsidP="006739D3">
      <w:pPr>
        <w:spacing w:line="280" w:lineRule="exact"/>
        <w:jc w:val="both"/>
        <w:rPr>
          <w:rFonts w:asciiTheme="minorHAnsi" w:hAnsiTheme="minorHAnsi" w:cstheme="minorHAnsi"/>
          <w:sz w:val="20"/>
          <w:lang w:val="fr-FR"/>
        </w:rPr>
      </w:pPr>
      <w:r w:rsidRPr="006739D3">
        <w:rPr>
          <w:rFonts w:asciiTheme="minorHAnsi" w:hAnsiTheme="minorHAnsi" w:cstheme="minorHAnsi"/>
          <w:sz w:val="20"/>
          <w:lang w:val="fr-FR"/>
        </w:rPr>
        <w:t>À</w:t>
      </w:r>
      <w:r>
        <w:rPr>
          <w:rFonts w:asciiTheme="minorHAnsi" w:hAnsiTheme="minorHAnsi" w:cstheme="minorHAnsi"/>
          <w:sz w:val="20"/>
          <w:lang w:val="fr-FR"/>
        </w:rPr>
        <w:t xml:space="preserve"> parti</w:t>
      </w:r>
      <w:r w:rsidR="00074EF6">
        <w:rPr>
          <w:rFonts w:asciiTheme="minorHAnsi" w:hAnsiTheme="minorHAnsi" w:cstheme="minorHAnsi"/>
          <w:sz w:val="20"/>
          <w:lang w:val="fr-FR"/>
        </w:rPr>
        <w:t>r</w:t>
      </w:r>
      <w:r>
        <w:rPr>
          <w:rFonts w:asciiTheme="minorHAnsi" w:hAnsiTheme="minorHAnsi" w:cstheme="minorHAnsi"/>
          <w:sz w:val="20"/>
          <w:lang w:val="fr-FR"/>
        </w:rPr>
        <w:t xml:space="preserve"> de l’âge de 12 mois pour ceux n’ayant pas reçu de primo-vaccination antérieure, le schéma comporte une dose unique.</w:t>
      </w:r>
    </w:p>
    <w:p w:rsidR="006739D3" w:rsidRDefault="006739D3" w:rsidP="006739D3">
      <w:pPr>
        <w:spacing w:line="280" w:lineRule="exact"/>
        <w:jc w:val="both"/>
        <w:rPr>
          <w:rFonts w:asciiTheme="minorHAnsi" w:hAnsiTheme="minorHAnsi" w:cstheme="minorHAnsi"/>
          <w:sz w:val="20"/>
          <w:lang w:val="fr-FR"/>
        </w:rPr>
      </w:pP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rFonts w:asciiTheme="minorHAnsi" w:hAnsiTheme="minorHAnsi" w:cstheme="minorHAnsi"/>
          <w:b/>
          <w:sz w:val="20"/>
          <w:lang w:val="fr-FR"/>
        </w:rPr>
        <w:t xml:space="preserve">La vaccination contre la rougeole, la rubéole et les oreillons </w:t>
      </w:r>
      <w:r>
        <w:rPr>
          <w:rFonts w:asciiTheme="minorHAnsi" w:hAnsiTheme="minorHAnsi" w:cstheme="minorHAnsi"/>
          <w:sz w:val="20"/>
          <w:lang w:val="fr-FR"/>
        </w:rPr>
        <w:t xml:space="preserve">(ROR : M-M-R </w:t>
      </w:r>
      <w:proofErr w:type="spellStart"/>
      <w:r>
        <w:rPr>
          <w:rFonts w:asciiTheme="minorHAnsi" w:hAnsiTheme="minorHAnsi" w:cstheme="minorHAnsi"/>
          <w:sz w:val="20"/>
          <w:lang w:val="fr-FR"/>
        </w:rPr>
        <w:t>VAxPro</w:t>
      </w:r>
      <w:proofErr w:type="spellEnd"/>
      <w:r>
        <w:rPr>
          <w:rFonts w:asciiTheme="minorHAnsi" w:hAnsiTheme="minorHAnsi" w:cstheme="minorHAnsi"/>
          <w:sz w:val="20"/>
          <w:lang w:val="fr-FR"/>
        </w:rPr>
        <w:t xml:space="preserve"> / Priorix) </w:t>
      </w:r>
      <w:r>
        <w:rPr>
          <w:sz w:val="20"/>
          <w:lang w:val="fr-FR"/>
        </w:rPr>
        <w:t>est obligatoire pour les nourrissons nés à partir du 1</w:t>
      </w:r>
      <w:r>
        <w:rPr>
          <w:sz w:val="20"/>
          <w:vertAlign w:val="superscript"/>
          <w:lang w:val="fr-FR"/>
        </w:rPr>
        <w:t xml:space="preserve">er </w:t>
      </w:r>
      <w:r>
        <w:rPr>
          <w:sz w:val="20"/>
          <w:lang w:val="fr-FR"/>
        </w:rPr>
        <w:t>janvier 2018 et recommandé pour les enfants nés avant cette date. Il repose sur :</w:t>
      </w: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une injection à 2 mois</w:t>
      </w:r>
    </w:p>
    <w:p w:rsidR="006739D3" w:rsidRDefault="006739D3" w:rsidP="006739D3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>- un rappel entre 16 et 18 mois</w:t>
      </w:r>
    </w:p>
    <w:p w:rsidR="006739D3" w:rsidRPr="006739D3" w:rsidRDefault="006739D3" w:rsidP="006739D3">
      <w:pPr>
        <w:spacing w:line="280" w:lineRule="exact"/>
        <w:jc w:val="both"/>
        <w:rPr>
          <w:rFonts w:asciiTheme="minorHAnsi" w:hAnsiTheme="minorHAnsi" w:cstheme="minorHAnsi"/>
          <w:sz w:val="20"/>
          <w:lang w:val="fr-FR"/>
        </w:rPr>
      </w:pPr>
    </w:p>
    <w:p w:rsidR="0074354D" w:rsidRDefault="006739D3" w:rsidP="0074354D">
      <w:pPr>
        <w:spacing w:line="280" w:lineRule="exact"/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Une dose à 12 mois peut-être </w:t>
      </w:r>
      <w:proofErr w:type="spellStart"/>
      <w:r>
        <w:rPr>
          <w:sz w:val="20"/>
          <w:lang w:val="fr-FR"/>
        </w:rPr>
        <w:t>co-administrée</w:t>
      </w:r>
      <w:proofErr w:type="spellEnd"/>
      <w:r>
        <w:rPr>
          <w:sz w:val="20"/>
          <w:lang w:val="fr-FR"/>
        </w:rPr>
        <w:t xml:space="preserve"> avec le vaccin contre le méningocoque C.</w:t>
      </w:r>
    </w:p>
    <w:p w:rsidR="006739D3" w:rsidRDefault="006739D3" w:rsidP="0074354D">
      <w:pPr>
        <w:spacing w:line="280" w:lineRule="exact"/>
        <w:jc w:val="both"/>
        <w:rPr>
          <w:sz w:val="20"/>
          <w:lang w:val="fr-FR"/>
        </w:rPr>
      </w:pPr>
    </w:p>
    <w:p w:rsidR="006739D3" w:rsidRPr="006739D3" w:rsidRDefault="006739D3" w:rsidP="0074354D">
      <w:pPr>
        <w:spacing w:line="280" w:lineRule="exact"/>
        <w:jc w:val="both"/>
        <w:rPr>
          <w:sz w:val="20"/>
          <w:lang w:val="fr-FR"/>
        </w:rPr>
      </w:pPr>
      <w:r>
        <w:rPr>
          <w:b/>
          <w:sz w:val="20"/>
          <w:lang w:val="fr-FR"/>
        </w:rPr>
        <w:t xml:space="preserve">La vaccination contre la tuberculose </w:t>
      </w:r>
      <w:r>
        <w:rPr>
          <w:sz w:val="20"/>
          <w:lang w:val="fr-FR"/>
        </w:rPr>
        <w:t>(BCG) n’est plus obliga</w:t>
      </w:r>
      <w:r w:rsidR="00EF4C09">
        <w:rPr>
          <w:sz w:val="20"/>
          <w:lang w:val="fr-FR"/>
        </w:rPr>
        <w:t>t</w:t>
      </w:r>
      <w:r>
        <w:rPr>
          <w:sz w:val="20"/>
          <w:lang w:val="fr-FR"/>
        </w:rPr>
        <w:t>oire (décret n°2007-1111 du 17 juillet 2007).</w:t>
      </w:r>
    </w:p>
    <w:p w:rsidR="0074354D" w:rsidRPr="0069622E" w:rsidRDefault="0074354D" w:rsidP="0074354D">
      <w:pPr>
        <w:spacing w:line="280" w:lineRule="exact"/>
        <w:jc w:val="both"/>
        <w:rPr>
          <w:sz w:val="20"/>
          <w:lang w:val="fr-FR"/>
        </w:rPr>
      </w:pPr>
    </w:p>
    <w:p w:rsidR="0069622E" w:rsidRPr="0069622E" w:rsidRDefault="0069622E" w:rsidP="0069622E">
      <w:pPr>
        <w:spacing w:line="276" w:lineRule="auto"/>
        <w:rPr>
          <w:sz w:val="20"/>
          <w:lang w:val="fr-FR"/>
        </w:rPr>
      </w:pPr>
    </w:p>
    <w:p w:rsidR="0069622E" w:rsidRPr="0069622E" w:rsidRDefault="0069622E" w:rsidP="0069622E">
      <w:pPr>
        <w:spacing w:line="276" w:lineRule="auto"/>
        <w:rPr>
          <w:sz w:val="20"/>
          <w:lang w:val="fr-FR"/>
        </w:rPr>
      </w:pPr>
    </w:p>
    <w:p w:rsidR="0069622E" w:rsidRPr="0069622E" w:rsidRDefault="0069622E" w:rsidP="0069622E">
      <w:pPr>
        <w:spacing w:line="276" w:lineRule="auto"/>
        <w:rPr>
          <w:sz w:val="20"/>
          <w:lang w:val="fr-FR"/>
        </w:rPr>
      </w:pPr>
    </w:p>
    <w:p w:rsidR="0069622E" w:rsidRDefault="0074354D" w:rsidP="0069622E">
      <w:pPr>
        <w:jc w:val="right"/>
        <w:outlineLvl w:val="0"/>
        <w:rPr>
          <w:b/>
          <w:bCs/>
          <w:color w:val="000000" w:themeColor="text1"/>
          <w:sz w:val="20"/>
          <w:szCs w:val="20"/>
          <w:lang w:val="fr-FR"/>
        </w:rPr>
      </w:pPr>
      <w:r>
        <w:rPr>
          <w:b/>
          <w:bCs/>
          <w:color w:val="000000" w:themeColor="text1"/>
          <w:sz w:val="20"/>
          <w:szCs w:val="20"/>
          <w:lang w:val="fr-FR"/>
        </w:rPr>
        <w:t>Médecin conseiller technique</w:t>
      </w:r>
    </w:p>
    <w:p w:rsidR="0074354D" w:rsidRPr="00A85D44" w:rsidRDefault="0074354D" w:rsidP="0069622E">
      <w:pPr>
        <w:jc w:val="right"/>
        <w:outlineLvl w:val="0"/>
        <w:rPr>
          <w:b/>
          <w:bCs/>
          <w:color w:val="000000" w:themeColor="text1"/>
          <w:sz w:val="20"/>
          <w:szCs w:val="20"/>
          <w:lang w:val="fr-FR"/>
        </w:rPr>
      </w:pPr>
      <w:r>
        <w:rPr>
          <w:b/>
          <w:bCs/>
          <w:color w:val="000000" w:themeColor="text1"/>
          <w:sz w:val="20"/>
          <w:szCs w:val="20"/>
          <w:lang w:val="fr-FR"/>
        </w:rPr>
        <w:t>Responsable départemental</w:t>
      </w:r>
    </w:p>
    <w:p w:rsidR="0069622E" w:rsidRPr="00A85D44" w:rsidRDefault="0069622E" w:rsidP="0069622E">
      <w:pPr>
        <w:spacing w:line="276" w:lineRule="auto"/>
        <w:rPr>
          <w:sz w:val="20"/>
          <w:szCs w:val="20"/>
          <w:lang w:val="fr-FR"/>
        </w:rPr>
      </w:pPr>
    </w:p>
    <w:p w:rsidR="0069622E" w:rsidRPr="00A85D44" w:rsidRDefault="0074354D" w:rsidP="0069622E">
      <w:pPr>
        <w:jc w:val="right"/>
        <w:outlineLvl w:val="0"/>
        <w:rPr>
          <w:b/>
          <w:bCs/>
          <w:color w:val="000000" w:themeColor="text1"/>
          <w:sz w:val="20"/>
          <w:szCs w:val="20"/>
          <w:lang w:val="fr-FR"/>
        </w:rPr>
      </w:pPr>
      <w:r>
        <w:rPr>
          <w:b/>
          <w:bCs/>
          <w:color w:val="000000" w:themeColor="text1"/>
          <w:sz w:val="20"/>
          <w:szCs w:val="20"/>
          <w:lang w:val="fr-FR"/>
        </w:rPr>
        <w:t>Pascale MIGUET-DANZIN</w:t>
      </w:r>
    </w:p>
    <w:p w:rsidR="0069622E" w:rsidRPr="0069622E" w:rsidRDefault="0069622E" w:rsidP="0069622E">
      <w:pPr>
        <w:spacing w:line="276" w:lineRule="auto"/>
        <w:rPr>
          <w:sz w:val="20"/>
          <w:lang w:val="fr-FR"/>
        </w:rPr>
      </w:pPr>
    </w:p>
    <w:p w:rsidR="0069622E" w:rsidRPr="0069622E" w:rsidRDefault="0069622E" w:rsidP="0069622E">
      <w:pPr>
        <w:spacing w:line="276" w:lineRule="auto"/>
        <w:rPr>
          <w:sz w:val="20"/>
          <w:lang w:val="fr-FR"/>
        </w:rPr>
      </w:pPr>
    </w:p>
    <w:p w:rsidR="0069622E" w:rsidRDefault="0069622E" w:rsidP="005F5886">
      <w:pPr>
        <w:rPr>
          <w:lang w:val="fr-FR"/>
        </w:rPr>
      </w:pPr>
    </w:p>
    <w:p w:rsidR="00B558B5" w:rsidRDefault="00B558B5" w:rsidP="005F5886">
      <w:pPr>
        <w:rPr>
          <w:lang w:val="fr-FR"/>
        </w:rPr>
      </w:pPr>
    </w:p>
    <w:p w:rsidR="00B558B5" w:rsidRDefault="00B558B5" w:rsidP="00B558B5">
      <w:pPr>
        <w:widowControl/>
        <w:adjustRightInd w:val="0"/>
        <w:rPr>
          <w:sz w:val="16"/>
          <w:szCs w:val="16"/>
          <w:lang w:val="fr-FR"/>
        </w:rPr>
      </w:pPr>
    </w:p>
    <w:p w:rsidR="00B558B5" w:rsidRDefault="00B558B5" w:rsidP="00B558B5">
      <w:pPr>
        <w:widowControl/>
        <w:adjustRightInd w:val="0"/>
        <w:rPr>
          <w:sz w:val="16"/>
          <w:szCs w:val="16"/>
          <w:lang w:val="fr-FR"/>
        </w:rPr>
      </w:pPr>
    </w:p>
    <w:p w:rsidR="00B558B5" w:rsidRDefault="00B558B5" w:rsidP="00B558B5">
      <w:pPr>
        <w:widowControl/>
        <w:adjustRightInd w:val="0"/>
        <w:rPr>
          <w:sz w:val="16"/>
          <w:szCs w:val="16"/>
          <w:lang w:val="fr-FR"/>
        </w:rPr>
      </w:pPr>
    </w:p>
    <w:p w:rsidR="00B558B5" w:rsidRPr="0069622E" w:rsidRDefault="00B558B5" w:rsidP="00B558B5">
      <w:pPr>
        <w:rPr>
          <w:lang w:val="fr-FR"/>
        </w:rPr>
      </w:pPr>
    </w:p>
    <w:sectPr w:rsidR="00B558B5" w:rsidRPr="0069622E" w:rsidSect="007A1B44">
      <w:headerReference w:type="default" r:id="rId11"/>
      <w:footerReference w:type="default" r:id="rId12"/>
      <w:headerReference w:type="first" r:id="rId13"/>
      <w:type w:val="continuous"/>
      <w:pgSz w:w="11910" w:h="16840"/>
      <w:pgMar w:top="1134" w:right="964" w:bottom="567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3A" w:rsidRDefault="0076623A" w:rsidP="0079276E">
      <w:r>
        <w:separator/>
      </w:r>
    </w:p>
  </w:endnote>
  <w:endnote w:type="continuationSeparator" w:id="0">
    <w:p w:rsidR="0076623A" w:rsidRDefault="0076623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78" w:rsidRDefault="00DD2078" w:rsidP="00BA59DB">
    <w:pPr>
      <w:rPr>
        <w:b/>
        <w:color w:val="939598"/>
        <w:sz w:val="16"/>
        <w:szCs w:val="16"/>
        <w:lang w:val="fr-FR"/>
      </w:rPr>
    </w:pP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D2078" w:rsidRPr="00936E45" w:rsidRDefault="00DD2078" w:rsidP="00DD2078">
        <w:pPr>
          <w:pStyle w:val="Pieddepage"/>
          <w:framePr w:wrap="none" w:vAnchor="text" w:hAnchor="margin" w:xAlign="center" w:y="152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268F6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BA59DB" w:rsidRDefault="009E2A58" w:rsidP="00BA59DB">
    <w:pPr>
      <w:rPr>
        <w:b/>
        <w:color w:val="939598"/>
        <w:sz w:val="16"/>
        <w:szCs w:val="16"/>
        <w:lang w:val="fr-FR"/>
      </w:rPr>
    </w:pPr>
    <w:r>
      <w:rPr>
        <w:b/>
        <w:color w:val="939598"/>
        <w:sz w:val="16"/>
        <w:szCs w:val="16"/>
        <w:lang w:val="fr-FR"/>
      </w:rPr>
      <w:t>Service Promotion de la santé</w:t>
    </w:r>
  </w:p>
  <w:p w:rsidR="009E2A58" w:rsidRPr="00BA59DB" w:rsidRDefault="009E2A58" w:rsidP="00BA59DB">
    <w:pPr>
      <w:rPr>
        <w:b/>
        <w:color w:val="939598"/>
        <w:sz w:val="16"/>
        <w:szCs w:val="16"/>
        <w:lang w:val="fr-FR"/>
      </w:rPr>
    </w:pPr>
    <w:r>
      <w:rPr>
        <w:b/>
        <w:color w:val="939598"/>
        <w:sz w:val="16"/>
        <w:szCs w:val="16"/>
        <w:lang w:val="fr-FR"/>
      </w:rPr>
      <w:t>En faveur des élèves</w:t>
    </w:r>
  </w:p>
  <w:p w:rsidR="00BA59DB" w:rsidRPr="00BA59DB" w:rsidRDefault="009E2A58" w:rsidP="00BA59DB">
    <w:pPr>
      <w:rPr>
        <w:color w:val="939598"/>
        <w:sz w:val="16"/>
        <w:szCs w:val="16"/>
        <w:lang w:val="fr-FR"/>
      </w:rPr>
    </w:pPr>
    <w:r>
      <w:rPr>
        <w:color w:val="939598"/>
        <w:sz w:val="16"/>
        <w:szCs w:val="16"/>
        <w:lang w:val="fr-FR"/>
      </w:rPr>
      <w:t>Tél : 04 57 08 70 70</w:t>
    </w:r>
  </w:p>
  <w:p w:rsidR="00BA59DB" w:rsidRPr="00BA59DB" w:rsidRDefault="00BA59DB" w:rsidP="00BA59DB">
    <w:pPr>
      <w:rPr>
        <w:color w:val="939598"/>
        <w:sz w:val="16"/>
        <w:szCs w:val="16"/>
        <w:lang w:val="fr-FR"/>
      </w:rPr>
    </w:pPr>
    <w:r w:rsidRPr="00BA59DB">
      <w:rPr>
        <w:color w:val="939598"/>
        <w:sz w:val="16"/>
        <w:szCs w:val="16"/>
        <w:lang w:val="fr-FR"/>
      </w:rPr>
      <w:t>Mél : ce.</w:t>
    </w:r>
    <w:r w:rsidR="009E2A58">
      <w:rPr>
        <w:color w:val="939598"/>
        <w:sz w:val="16"/>
        <w:szCs w:val="16"/>
        <w:lang w:val="fr-FR"/>
      </w:rPr>
      <w:t>desden73-sms</w:t>
    </w:r>
    <w:r w:rsidRPr="00BA59DB">
      <w:rPr>
        <w:color w:val="939598"/>
        <w:sz w:val="16"/>
        <w:szCs w:val="16"/>
        <w:lang w:val="fr-FR"/>
      </w:rPr>
      <w:t>@ac-grenoble.fr</w:t>
    </w:r>
  </w:p>
  <w:p w:rsidR="00A85D44" w:rsidRPr="00A85D44" w:rsidRDefault="00A85D44" w:rsidP="00A85D44">
    <w:pPr>
      <w:rPr>
        <w:color w:val="939598"/>
        <w:position w:val="1"/>
        <w:sz w:val="16"/>
        <w:szCs w:val="16"/>
        <w:lang w:val="fr-FR"/>
      </w:rPr>
    </w:pPr>
    <w:r w:rsidRPr="00A85D44">
      <w:rPr>
        <w:color w:val="939598"/>
        <w:position w:val="1"/>
        <w:sz w:val="16"/>
        <w:szCs w:val="16"/>
        <w:lang w:val="fr-FR"/>
      </w:rPr>
      <w:t>00</w:t>
    </w:r>
    <w:r w:rsidR="009E2A58">
      <w:rPr>
        <w:color w:val="939598"/>
        <w:position w:val="1"/>
        <w:sz w:val="16"/>
        <w:szCs w:val="16"/>
        <w:lang w:val="fr-FR"/>
      </w:rPr>
      <w:t>131 avenue de Lyon</w:t>
    </w:r>
  </w:p>
  <w:p w:rsidR="00A85D44" w:rsidRPr="00A85D44" w:rsidRDefault="009E2A58" w:rsidP="00A85D44">
    <w:pPr>
      <w:rPr>
        <w:color w:val="939598"/>
        <w:position w:val="1"/>
        <w:sz w:val="16"/>
        <w:szCs w:val="16"/>
        <w:lang w:val="fr-FR"/>
      </w:rPr>
    </w:pPr>
    <w:r>
      <w:rPr>
        <w:color w:val="939598"/>
        <w:position w:val="1"/>
        <w:sz w:val="16"/>
        <w:szCs w:val="16"/>
        <w:lang w:val="fr-FR"/>
      </w:rPr>
      <w:t>73018 Chambéry</w:t>
    </w:r>
  </w:p>
  <w:p w:rsidR="00BA59DB" w:rsidRPr="00B415E6" w:rsidRDefault="00BA59DB" w:rsidP="00A85D44">
    <w:pPr>
      <w:rPr>
        <w:color w:val="939598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3A" w:rsidRDefault="0076623A" w:rsidP="0079276E">
      <w:r>
        <w:separator/>
      </w:r>
    </w:p>
  </w:footnote>
  <w:footnote w:type="continuationSeparator" w:id="0">
    <w:p w:rsidR="0076623A" w:rsidRDefault="0076623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86" w:rsidRDefault="005F5886" w:rsidP="0069622E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D4" w:rsidRDefault="000655FB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38100</wp:posOffset>
          </wp:positionV>
          <wp:extent cx="3276600" cy="111375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4_logoDSDEN_73_ac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11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725D4" w:rsidRDefault="002725D4" w:rsidP="002725D4">
    <w:pPr>
      <w:pStyle w:val="ServiceInfoHeader"/>
      <w:rPr>
        <w:lang w:val="fr-FR"/>
      </w:rPr>
    </w:pPr>
  </w:p>
  <w:p w:rsidR="002725D4" w:rsidRPr="00936E45" w:rsidRDefault="002725D4" w:rsidP="002725D4">
    <w:pPr>
      <w:pStyle w:val="ServiceInfoHeader"/>
      <w:rPr>
        <w:lang w:val="fr-FR"/>
      </w:rPr>
    </w:pPr>
  </w:p>
  <w:p w:rsidR="0069622E" w:rsidRDefault="006962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45DCD"/>
    <w:rsid w:val="00046EC0"/>
    <w:rsid w:val="000655FB"/>
    <w:rsid w:val="00074EF6"/>
    <w:rsid w:val="00081F5E"/>
    <w:rsid w:val="000825AD"/>
    <w:rsid w:val="000924D0"/>
    <w:rsid w:val="001200FD"/>
    <w:rsid w:val="001648E4"/>
    <w:rsid w:val="001C79E5"/>
    <w:rsid w:val="001F209A"/>
    <w:rsid w:val="00202B2A"/>
    <w:rsid w:val="0021726A"/>
    <w:rsid w:val="002243C1"/>
    <w:rsid w:val="002725D4"/>
    <w:rsid w:val="00283152"/>
    <w:rsid w:val="0028456B"/>
    <w:rsid w:val="00290741"/>
    <w:rsid w:val="00290CE8"/>
    <w:rsid w:val="00293194"/>
    <w:rsid w:val="002C53DF"/>
    <w:rsid w:val="0031231C"/>
    <w:rsid w:val="00321360"/>
    <w:rsid w:val="003240AC"/>
    <w:rsid w:val="0038600B"/>
    <w:rsid w:val="00393FAA"/>
    <w:rsid w:val="003A7BC3"/>
    <w:rsid w:val="003D1DE1"/>
    <w:rsid w:val="003D6FC8"/>
    <w:rsid w:val="003F2312"/>
    <w:rsid w:val="00411624"/>
    <w:rsid w:val="0042101F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135F6"/>
    <w:rsid w:val="00521BCD"/>
    <w:rsid w:val="00533FB0"/>
    <w:rsid w:val="005972E3"/>
    <w:rsid w:val="005B11B6"/>
    <w:rsid w:val="005B6F0D"/>
    <w:rsid w:val="005C4846"/>
    <w:rsid w:val="005F2E98"/>
    <w:rsid w:val="005F469D"/>
    <w:rsid w:val="005F5886"/>
    <w:rsid w:val="00601526"/>
    <w:rsid w:val="00625D93"/>
    <w:rsid w:val="0064585C"/>
    <w:rsid w:val="00651077"/>
    <w:rsid w:val="006739D3"/>
    <w:rsid w:val="006859B0"/>
    <w:rsid w:val="0069622E"/>
    <w:rsid w:val="006A4ADA"/>
    <w:rsid w:val="006D502A"/>
    <w:rsid w:val="006E455E"/>
    <w:rsid w:val="006F2701"/>
    <w:rsid w:val="00742A03"/>
    <w:rsid w:val="0074354D"/>
    <w:rsid w:val="0076623A"/>
    <w:rsid w:val="00772F7E"/>
    <w:rsid w:val="0079276E"/>
    <w:rsid w:val="007A1B44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A73FE"/>
    <w:rsid w:val="008C7EC1"/>
    <w:rsid w:val="00930B38"/>
    <w:rsid w:val="00936712"/>
    <w:rsid w:val="00936E45"/>
    <w:rsid w:val="00941377"/>
    <w:rsid w:val="00992DBA"/>
    <w:rsid w:val="009C0C96"/>
    <w:rsid w:val="009C141C"/>
    <w:rsid w:val="009D448D"/>
    <w:rsid w:val="009E2A58"/>
    <w:rsid w:val="009F56A7"/>
    <w:rsid w:val="009F692C"/>
    <w:rsid w:val="00A10A83"/>
    <w:rsid w:val="00A124A0"/>
    <w:rsid w:val="00A1486F"/>
    <w:rsid w:val="00A30EA6"/>
    <w:rsid w:val="00A62894"/>
    <w:rsid w:val="00A84CCB"/>
    <w:rsid w:val="00A85CD2"/>
    <w:rsid w:val="00A85D44"/>
    <w:rsid w:val="00A91EB9"/>
    <w:rsid w:val="00AC1A6E"/>
    <w:rsid w:val="00AE48FE"/>
    <w:rsid w:val="00AF1D5B"/>
    <w:rsid w:val="00B37451"/>
    <w:rsid w:val="00B415E6"/>
    <w:rsid w:val="00B46AF7"/>
    <w:rsid w:val="00B558B5"/>
    <w:rsid w:val="00B55B58"/>
    <w:rsid w:val="00BA59DB"/>
    <w:rsid w:val="00C220A3"/>
    <w:rsid w:val="00C268F6"/>
    <w:rsid w:val="00C66322"/>
    <w:rsid w:val="00C67312"/>
    <w:rsid w:val="00C7451D"/>
    <w:rsid w:val="00C9047B"/>
    <w:rsid w:val="00CD5E65"/>
    <w:rsid w:val="00CE16E3"/>
    <w:rsid w:val="00CE1BE6"/>
    <w:rsid w:val="00D10C52"/>
    <w:rsid w:val="00D80DAA"/>
    <w:rsid w:val="00D85416"/>
    <w:rsid w:val="00D90C8B"/>
    <w:rsid w:val="00D96935"/>
    <w:rsid w:val="00DA2090"/>
    <w:rsid w:val="00DA50E9"/>
    <w:rsid w:val="00DA5604"/>
    <w:rsid w:val="00DD2078"/>
    <w:rsid w:val="00DD50D6"/>
    <w:rsid w:val="00E05336"/>
    <w:rsid w:val="00E47097"/>
    <w:rsid w:val="00E669F0"/>
    <w:rsid w:val="00EF4C09"/>
    <w:rsid w:val="00EF5CF0"/>
    <w:rsid w:val="00F043B7"/>
    <w:rsid w:val="00F22CF7"/>
    <w:rsid w:val="00F2464C"/>
    <w:rsid w:val="00F25DA3"/>
    <w:rsid w:val="00F261BB"/>
    <w:rsid w:val="00F542FC"/>
    <w:rsid w:val="00F7722A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43E4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E68AB237-0993-4366-B543-4CE593F2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Gimard.Bastien</cp:lastModifiedBy>
  <cp:revision>14</cp:revision>
  <dcterms:created xsi:type="dcterms:W3CDTF">2020-09-23T06:32:00Z</dcterms:created>
  <dcterms:modified xsi:type="dcterms:W3CDTF">2022-04-11T11:53:00Z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